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2DDCC" w14:textId="32318EBF" w:rsidR="00A8550B" w:rsidRPr="005815CA" w:rsidRDefault="005815CA" w:rsidP="005815CA">
      <w:pPr>
        <w:pStyle w:val="Heading1"/>
        <w:spacing w:line="276" w:lineRule="auto"/>
        <w:rPr>
          <w:rStyle w:val="oypena"/>
          <w:rFonts w:ascii="Verdana" w:hAnsi="Verdana"/>
          <w:b/>
          <w:bCs/>
          <w:color w:val="652266" w:themeColor="accent1"/>
          <w:sz w:val="32"/>
          <w:szCs w:val="32"/>
        </w:rPr>
      </w:pPr>
      <w:r w:rsidRPr="005815CA">
        <w:rPr>
          <w:rStyle w:val="oypena"/>
          <w:rFonts w:ascii="Verdana" w:hAnsi="Verdana"/>
          <w:b/>
          <w:bCs/>
          <w:color w:val="652266" w:themeColor="accent1"/>
          <w:sz w:val="32"/>
          <w:szCs w:val="32"/>
        </w:rPr>
        <w:t>Barriers to accessing support services</w:t>
      </w:r>
    </w:p>
    <w:p w14:paraId="2480ACA4" w14:textId="2C45A0E1" w:rsidR="005815CA" w:rsidRDefault="005815CA" w:rsidP="005815CA">
      <w:pPr>
        <w:pStyle w:val="Subtitle"/>
        <w:spacing w:line="276" w:lineRule="auto"/>
        <w:rPr>
          <w:rStyle w:val="oypena"/>
          <w:rFonts w:ascii="Verdana" w:hAnsi="Verdana"/>
          <w:color w:val="000000"/>
          <w:sz w:val="24"/>
          <w:szCs w:val="24"/>
        </w:rPr>
      </w:pPr>
      <w:r w:rsidRPr="005815CA">
        <w:rPr>
          <w:rStyle w:val="oypena"/>
          <w:rFonts w:ascii="Verdana" w:hAnsi="Verdana"/>
          <w:color w:val="000000"/>
          <w:sz w:val="24"/>
          <w:szCs w:val="24"/>
        </w:rPr>
        <w:t>F</w:t>
      </w:r>
      <w:r w:rsidRPr="005815CA">
        <w:rPr>
          <w:rStyle w:val="oypena"/>
          <w:rFonts w:ascii="Verdana" w:hAnsi="Verdana"/>
          <w:color w:val="000000"/>
          <w:sz w:val="24"/>
          <w:szCs w:val="24"/>
        </w:rPr>
        <w:t>or migrant and refugee women, non-binary, and gender-diverse people with disabilities</w:t>
      </w:r>
    </w:p>
    <w:p w14:paraId="6BA0EBFE" w14:textId="77777777" w:rsidR="005815CA" w:rsidRPr="005815CA" w:rsidRDefault="005815CA" w:rsidP="005815CA"/>
    <w:p w14:paraId="37797C41" w14:textId="0F50A96E" w:rsidR="005815CA" w:rsidRPr="005815CA" w:rsidRDefault="005815CA" w:rsidP="005815CA">
      <w:pPr>
        <w:pStyle w:val="Heading2"/>
        <w:spacing w:line="276" w:lineRule="auto"/>
        <w:rPr>
          <w:rStyle w:val="oypena"/>
          <w:rFonts w:ascii="Verdana" w:hAnsi="Verdana"/>
          <w:b/>
          <w:bCs/>
          <w:color w:val="652266" w:themeColor="accent1"/>
          <w:sz w:val="24"/>
          <w:szCs w:val="24"/>
        </w:rPr>
      </w:pPr>
      <w:r w:rsidRPr="005815CA">
        <w:rPr>
          <w:rStyle w:val="oypena"/>
          <w:rFonts w:ascii="Verdana" w:hAnsi="Verdana"/>
          <w:b/>
          <w:bCs/>
          <w:color w:val="652266" w:themeColor="accent1"/>
          <w:sz w:val="24"/>
          <w:szCs w:val="24"/>
        </w:rPr>
        <w:t>Support Networks</w:t>
      </w:r>
    </w:p>
    <w:p w14:paraId="6724B924" w14:textId="633DD63E" w:rsidR="005815CA" w:rsidRDefault="005815CA" w:rsidP="005815CA">
      <w:pPr>
        <w:pStyle w:val="ListParagraph"/>
        <w:numPr>
          <w:ilvl w:val="0"/>
          <w:numId w:val="3"/>
        </w:numPr>
        <w:spacing w:line="276" w:lineRule="auto"/>
        <w:rPr>
          <w:rStyle w:val="oypena"/>
          <w:rFonts w:ascii="Verdana" w:hAnsi="Verdana"/>
          <w:color w:val="000000"/>
        </w:rPr>
      </w:pPr>
      <w:r w:rsidRPr="005815CA">
        <w:rPr>
          <w:rStyle w:val="oypena"/>
          <w:rFonts w:ascii="Verdana" w:hAnsi="Verdana"/>
          <w:color w:val="000000"/>
        </w:rPr>
        <w:t>Limited social networks in a new country, dependence on caregivers, and community stigma surrounding disability contribute to social isolation.</w:t>
      </w:r>
    </w:p>
    <w:p w14:paraId="29707749" w14:textId="77777777" w:rsidR="005815CA" w:rsidRPr="005815CA" w:rsidRDefault="005815CA" w:rsidP="005815CA">
      <w:pPr>
        <w:pStyle w:val="ListParagraph"/>
        <w:spacing w:line="276" w:lineRule="auto"/>
        <w:rPr>
          <w:rStyle w:val="oypena"/>
          <w:rFonts w:ascii="Verdana" w:hAnsi="Verdana"/>
          <w:color w:val="000000"/>
        </w:rPr>
      </w:pPr>
    </w:p>
    <w:p w14:paraId="0B7F05B5" w14:textId="1A649B11" w:rsidR="005815CA" w:rsidRPr="005815CA" w:rsidRDefault="005815CA" w:rsidP="005815CA">
      <w:pPr>
        <w:pStyle w:val="Heading2"/>
        <w:spacing w:line="276" w:lineRule="auto"/>
        <w:rPr>
          <w:rStyle w:val="oypena"/>
          <w:rFonts w:ascii="Verdana" w:hAnsi="Verdana"/>
          <w:b/>
          <w:bCs/>
          <w:color w:val="652266" w:themeColor="accent1"/>
          <w:sz w:val="24"/>
          <w:szCs w:val="24"/>
        </w:rPr>
      </w:pPr>
      <w:r w:rsidRPr="005815CA">
        <w:rPr>
          <w:rStyle w:val="oypena"/>
          <w:rFonts w:ascii="Verdana" w:hAnsi="Verdana"/>
          <w:b/>
          <w:bCs/>
          <w:color w:val="652266" w:themeColor="accent1"/>
          <w:sz w:val="24"/>
          <w:szCs w:val="24"/>
        </w:rPr>
        <w:t>Financial Hardship</w:t>
      </w:r>
    </w:p>
    <w:p w14:paraId="730B7208" w14:textId="77777777" w:rsidR="005815CA" w:rsidRPr="005815CA" w:rsidRDefault="005815CA" w:rsidP="005815CA">
      <w:pPr>
        <w:pStyle w:val="ListParagraph"/>
        <w:numPr>
          <w:ilvl w:val="0"/>
          <w:numId w:val="3"/>
        </w:numPr>
        <w:spacing w:line="276" w:lineRule="auto"/>
        <w:rPr>
          <w:rFonts w:ascii="Verdana" w:hAnsi="Verdana"/>
        </w:rPr>
      </w:pPr>
      <w:r w:rsidRPr="005815CA">
        <w:rPr>
          <w:rFonts w:ascii="Verdana" w:hAnsi="Verdana"/>
        </w:rPr>
        <w:t xml:space="preserve">The non-recognition of skills and qualifications acquired overseas directly results in the need to participate in precarious or low-paying work, and a lack of opportunities for career progression. </w:t>
      </w:r>
    </w:p>
    <w:p w14:paraId="50248285" w14:textId="5EC9FA2A" w:rsidR="005815CA" w:rsidRDefault="005815CA" w:rsidP="005815CA">
      <w:pPr>
        <w:pStyle w:val="ListParagraph"/>
        <w:numPr>
          <w:ilvl w:val="0"/>
          <w:numId w:val="3"/>
        </w:numPr>
        <w:spacing w:line="276" w:lineRule="auto"/>
        <w:rPr>
          <w:rFonts w:ascii="Verdana" w:hAnsi="Verdana"/>
        </w:rPr>
      </w:pPr>
      <w:r w:rsidRPr="005815CA">
        <w:rPr>
          <w:rFonts w:ascii="Verdana" w:hAnsi="Verdana"/>
        </w:rPr>
        <w:t>Some visa categories exclude access to social support such as the Disability Support Pension (DSP) and the National Disability Insurance Scheme (NDIS).</w:t>
      </w:r>
    </w:p>
    <w:p w14:paraId="50152372" w14:textId="77777777" w:rsidR="005815CA" w:rsidRPr="005815CA" w:rsidRDefault="005815CA" w:rsidP="005815CA">
      <w:pPr>
        <w:pStyle w:val="ListParagraph"/>
        <w:spacing w:line="276" w:lineRule="auto"/>
        <w:rPr>
          <w:rFonts w:ascii="Verdana" w:hAnsi="Verdana"/>
        </w:rPr>
      </w:pPr>
    </w:p>
    <w:p w14:paraId="65126661" w14:textId="73A24B46" w:rsidR="005815CA" w:rsidRPr="005815CA" w:rsidRDefault="005815CA" w:rsidP="005815CA">
      <w:pPr>
        <w:pStyle w:val="Heading2"/>
        <w:spacing w:line="276" w:lineRule="auto"/>
        <w:rPr>
          <w:rStyle w:val="oypena"/>
          <w:rFonts w:ascii="Verdana" w:hAnsi="Verdana"/>
          <w:b/>
          <w:bCs/>
          <w:color w:val="652266" w:themeColor="accent1"/>
          <w:sz w:val="24"/>
          <w:szCs w:val="24"/>
        </w:rPr>
      </w:pPr>
      <w:r w:rsidRPr="005815CA">
        <w:rPr>
          <w:rStyle w:val="oypena"/>
          <w:rFonts w:ascii="Verdana" w:hAnsi="Verdana"/>
          <w:b/>
          <w:bCs/>
          <w:color w:val="652266" w:themeColor="accent1"/>
          <w:sz w:val="24"/>
          <w:szCs w:val="24"/>
        </w:rPr>
        <w:t>Access to Services</w:t>
      </w:r>
    </w:p>
    <w:p w14:paraId="3A67CDA0" w14:textId="75C574CC" w:rsidR="005815CA" w:rsidRPr="005815CA" w:rsidRDefault="005815CA" w:rsidP="005815CA">
      <w:pPr>
        <w:pStyle w:val="ListParagraph"/>
        <w:numPr>
          <w:ilvl w:val="0"/>
          <w:numId w:val="4"/>
        </w:numPr>
        <w:spacing w:line="276" w:lineRule="auto"/>
        <w:rPr>
          <w:rStyle w:val="oypena"/>
          <w:rFonts w:ascii="Verdana" w:hAnsi="Verdana"/>
          <w:color w:val="000000"/>
        </w:rPr>
      </w:pPr>
      <w:r w:rsidRPr="005815CA">
        <w:rPr>
          <w:rStyle w:val="oypena"/>
          <w:rFonts w:ascii="Verdana" w:hAnsi="Verdana"/>
          <w:color w:val="000000"/>
        </w:rPr>
        <w:t>Limited access to safe, accessible, culturally appropriate, and affordable healthcare, as well as access to transport, housing, employment, and other services.</w:t>
      </w:r>
    </w:p>
    <w:p w14:paraId="151649DE" w14:textId="0E5AFD70" w:rsidR="005815CA" w:rsidRPr="005815CA" w:rsidRDefault="005815CA" w:rsidP="005815CA">
      <w:pPr>
        <w:pStyle w:val="ListParagraph"/>
        <w:numPr>
          <w:ilvl w:val="0"/>
          <w:numId w:val="4"/>
        </w:numPr>
        <w:spacing w:line="276" w:lineRule="auto"/>
        <w:rPr>
          <w:rStyle w:val="oypena"/>
          <w:rFonts w:ascii="Verdana" w:hAnsi="Verdana"/>
          <w:color w:val="000000"/>
        </w:rPr>
      </w:pPr>
      <w:r w:rsidRPr="005815CA">
        <w:rPr>
          <w:rStyle w:val="oypena"/>
          <w:rFonts w:ascii="Verdana" w:hAnsi="Verdana"/>
          <w:color w:val="000000"/>
        </w:rPr>
        <w:t>Limited access to in-language and accessible sexual and reproductive health information results in a lack of autonomy to exercise their sexual and reproductive rights. Ableist views, such as assumptions that people with disabilities do not have desires, can impact the availability and accessibility of sexual and reproductive health information.</w:t>
      </w:r>
    </w:p>
    <w:p w14:paraId="1C2E6D72" w14:textId="6E09BDF8" w:rsidR="005815CA" w:rsidRDefault="005815CA" w:rsidP="005815CA">
      <w:pPr>
        <w:pStyle w:val="ListParagraph"/>
        <w:numPr>
          <w:ilvl w:val="0"/>
          <w:numId w:val="4"/>
        </w:numPr>
        <w:spacing w:line="276" w:lineRule="auto"/>
        <w:rPr>
          <w:rStyle w:val="oypena"/>
          <w:rFonts w:ascii="Verdana" w:hAnsi="Verdana"/>
          <w:color w:val="000000"/>
        </w:rPr>
      </w:pPr>
      <w:r w:rsidRPr="005815CA">
        <w:rPr>
          <w:rStyle w:val="oypena"/>
          <w:rFonts w:ascii="Verdana" w:hAnsi="Verdana"/>
          <w:color w:val="000000"/>
        </w:rPr>
        <w:t>Under-resourced services with limited budget for accessibility and supporting culturally appropriate services, such as recruiting bilingual Health Educators.</w:t>
      </w:r>
    </w:p>
    <w:p w14:paraId="7EAC1F9C" w14:textId="77777777" w:rsidR="005815CA" w:rsidRPr="005815CA" w:rsidRDefault="005815CA" w:rsidP="005815CA">
      <w:pPr>
        <w:pStyle w:val="ListParagraph"/>
        <w:spacing w:line="276" w:lineRule="auto"/>
        <w:rPr>
          <w:rStyle w:val="oypena"/>
          <w:rFonts w:ascii="Verdana" w:hAnsi="Verdana"/>
          <w:color w:val="000000"/>
        </w:rPr>
      </w:pPr>
    </w:p>
    <w:p w14:paraId="1A968E7B" w14:textId="6354564E" w:rsidR="005815CA" w:rsidRPr="005815CA" w:rsidRDefault="005815CA" w:rsidP="005815CA">
      <w:pPr>
        <w:pStyle w:val="Heading2"/>
        <w:spacing w:line="276" w:lineRule="auto"/>
        <w:rPr>
          <w:rStyle w:val="oypena"/>
          <w:rFonts w:ascii="Verdana" w:hAnsi="Verdana"/>
          <w:b/>
          <w:bCs/>
          <w:color w:val="652266" w:themeColor="accent1"/>
          <w:sz w:val="24"/>
          <w:szCs w:val="24"/>
        </w:rPr>
      </w:pPr>
      <w:r w:rsidRPr="005815CA">
        <w:rPr>
          <w:rStyle w:val="oypena"/>
          <w:rFonts w:ascii="Verdana" w:hAnsi="Verdana"/>
          <w:b/>
          <w:bCs/>
          <w:color w:val="652266" w:themeColor="accent1"/>
          <w:sz w:val="24"/>
          <w:szCs w:val="24"/>
        </w:rPr>
        <w:t>Immigration System</w:t>
      </w:r>
    </w:p>
    <w:p w14:paraId="6CFEDEAE" w14:textId="77777777" w:rsidR="005815CA" w:rsidRPr="005815CA" w:rsidRDefault="005815CA" w:rsidP="005815CA">
      <w:pPr>
        <w:pStyle w:val="ListParagraph"/>
        <w:numPr>
          <w:ilvl w:val="0"/>
          <w:numId w:val="5"/>
        </w:numPr>
        <w:spacing w:line="276" w:lineRule="auto"/>
        <w:rPr>
          <w:rFonts w:ascii="Verdana" w:hAnsi="Verdana"/>
        </w:rPr>
      </w:pPr>
      <w:r w:rsidRPr="005815CA">
        <w:rPr>
          <w:rFonts w:ascii="Verdana" w:hAnsi="Verdana"/>
        </w:rPr>
        <w:t>Residency rights and visa status pose significant obstacles to women's independence, limiting access to essential health, social, and economic opportunities, particularly for those on temporary visas. The fear of visa rejection further compounds these challenges, often discouraging individuals from reporting instances of violence.</w:t>
      </w:r>
    </w:p>
    <w:p w14:paraId="22D2C3E6" w14:textId="77777777" w:rsidR="005815CA" w:rsidRPr="005815CA" w:rsidRDefault="005815CA" w:rsidP="005815CA">
      <w:pPr>
        <w:pStyle w:val="ListParagraph"/>
        <w:numPr>
          <w:ilvl w:val="0"/>
          <w:numId w:val="5"/>
        </w:numPr>
        <w:spacing w:line="276" w:lineRule="auto"/>
        <w:rPr>
          <w:rFonts w:ascii="Verdana" w:hAnsi="Verdana"/>
        </w:rPr>
      </w:pPr>
      <w:r w:rsidRPr="005815CA">
        <w:rPr>
          <w:rFonts w:ascii="Verdana" w:hAnsi="Verdana"/>
        </w:rPr>
        <w:t xml:space="preserve">Navigating Australia's visa system can be challenging for individuals with disabilities or ongoing health conditions. The health requirement focuses primarily on the economic impact of an applicant's condition, potentially </w:t>
      </w:r>
      <w:proofErr w:type="spellStart"/>
      <w:r w:rsidRPr="005815CA">
        <w:rPr>
          <w:rFonts w:ascii="Verdana" w:hAnsi="Verdana"/>
        </w:rPr>
        <w:t>labeling</w:t>
      </w:r>
      <w:proofErr w:type="spellEnd"/>
      <w:r w:rsidRPr="005815CA">
        <w:rPr>
          <w:rFonts w:ascii="Verdana" w:hAnsi="Verdana"/>
        </w:rPr>
        <w:t xml:space="preserve"> them as a burden to public health and community resources. </w:t>
      </w:r>
    </w:p>
    <w:p w14:paraId="72DD31AE" w14:textId="6BBC8ACA" w:rsidR="005815CA" w:rsidRDefault="005815CA" w:rsidP="005815CA">
      <w:pPr>
        <w:pStyle w:val="ListParagraph"/>
        <w:numPr>
          <w:ilvl w:val="0"/>
          <w:numId w:val="5"/>
        </w:numPr>
        <w:spacing w:line="276" w:lineRule="auto"/>
        <w:rPr>
          <w:rFonts w:ascii="Verdana" w:hAnsi="Verdana"/>
        </w:rPr>
      </w:pPr>
      <w:r w:rsidRPr="005815CA">
        <w:rPr>
          <w:rFonts w:ascii="Verdana" w:hAnsi="Verdana"/>
        </w:rPr>
        <w:lastRenderedPageBreak/>
        <w:t>Remaining silent about violence at work for fear of losing their position or their visa status. Sponsorship from an employer may be a deterrent from disclosing workplace discrimination and harassment in fear of not only losing their job but also losing their sponsorship and facing deportation.</w:t>
      </w:r>
    </w:p>
    <w:p w14:paraId="3048E218" w14:textId="77777777" w:rsidR="005815CA" w:rsidRPr="005815CA" w:rsidRDefault="005815CA" w:rsidP="005815CA">
      <w:pPr>
        <w:pStyle w:val="ListParagraph"/>
        <w:spacing w:line="276" w:lineRule="auto"/>
        <w:rPr>
          <w:rFonts w:ascii="Verdana" w:hAnsi="Verdana"/>
        </w:rPr>
      </w:pPr>
    </w:p>
    <w:p w14:paraId="2449A906" w14:textId="4DB6E776" w:rsidR="005815CA" w:rsidRPr="005815CA" w:rsidRDefault="005815CA" w:rsidP="005815CA">
      <w:pPr>
        <w:pStyle w:val="Heading2"/>
        <w:spacing w:line="276" w:lineRule="auto"/>
        <w:rPr>
          <w:rStyle w:val="oypena"/>
          <w:rFonts w:ascii="Verdana" w:hAnsi="Verdana"/>
          <w:b/>
          <w:bCs/>
          <w:color w:val="000000"/>
          <w:sz w:val="24"/>
          <w:szCs w:val="24"/>
        </w:rPr>
      </w:pPr>
      <w:r w:rsidRPr="005815CA">
        <w:rPr>
          <w:rStyle w:val="oypena"/>
          <w:rFonts w:ascii="Verdana" w:hAnsi="Verdana"/>
          <w:b/>
          <w:bCs/>
          <w:color w:val="000000"/>
          <w:sz w:val="24"/>
          <w:szCs w:val="24"/>
        </w:rPr>
        <w:t>This information was gathered from:</w:t>
      </w:r>
    </w:p>
    <w:p w14:paraId="1D08C720" w14:textId="32F5C591" w:rsidR="005815CA" w:rsidRPr="005815CA" w:rsidRDefault="005815CA" w:rsidP="005815CA">
      <w:pPr>
        <w:pStyle w:val="ListParagraph"/>
        <w:numPr>
          <w:ilvl w:val="0"/>
          <w:numId w:val="6"/>
        </w:numPr>
        <w:spacing w:line="276" w:lineRule="auto"/>
        <w:rPr>
          <w:rStyle w:val="oypena"/>
          <w:rFonts w:ascii="Verdana" w:hAnsi="Verdana"/>
          <w:color w:val="000000"/>
        </w:rPr>
      </w:pPr>
      <w:r w:rsidRPr="005815CA">
        <w:rPr>
          <w:rStyle w:val="oypena"/>
          <w:rFonts w:ascii="Verdana" w:hAnsi="Verdana"/>
          <w:color w:val="000000"/>
        </w:rPr>
        <w:t>Preventing Violence Against Migrant and Refugee Women, Non-Binary, and Gender-Diverse People with Disabilities: Background Paper (2024).</w:t>
      </w:r>
    </w:p>
    <w:p w14:paraId="59DF16BD" w14:textId="23406E97" w:rsidR="005815CA" w:rsidRPr="005815CA" w:rsidRDefault="005815CA" w:rsidP="005815CA">
      <w:pPr>
        <w:pStyle w:val="ListParagraph"/>
        <w:numPr>
          <w:ilvl w:val="0"/>
          <w:numId w:val="6"/>
        </w:numPr>
        <w:spacing w:line="276" w:lineRule="auto"/>
        <w:rPr>
          <w:rFonts w:ascii="Verdana" w:hAnsi="Verdana"/>
        </w:rPr>
      </w:pPr>
      <w:r w:rsidRPr="005815CA">
        <w:rPr>
          <w:rStyle w:val="oypena"/>
          <w:rFonts w:ascii="Verdana" w:hAnsi="Verdana"/>
          <w:color w:val="000000"/>
        </w:rPr>
        <w:t>Community consultations with women, non-binary, and gender-diverse people with lived experience of cultural diversity and disability. Participants were offered the opportunity to partake in one of two focus groups or contribute by responding to questions in a way that was most accessible to them.</w:t>
      </w:r>
    </w:p>
    <w:p w14:paraId="4DAC0498" w14:textId="77777777" w:rsidR="005815CA" w:rsidRPr="005815CA" w:rsidRDefault="005815CA" w:rsidP="005815CA">
      <w:pPr>
        <w:spacing w:line="276" w:lineRule="auto"/>
        <w:rPr>
          <w:rStyle w:val="oypena"/>
          <w:rFonts w:ascii="Verdana" w:hAnsi="Verdana"/>
          <w:color w:val="000000"/>
        </w:rPr>
      </w:pPr>
    </w:p>
    <w:p w14:paraId="6FED8512" w14:textId="48465808" w:rsidR="005815CA" w:rsidRPr="005815CA" w:rsidRDefault="005815CA" w:rsidP="005815CA">
      <w:pPr>
        <w:spacing w:line="276" w:lineRule="auto"/>
        <w:rPr>
          <w:rStyle w:val="oypena"/>
          <w:rFonts w:ascii="Verdana" w:hAnsi="Verdana"/>
          <w:color w:val="000000"/>
        </w:rPr>
      </w:pPr>
      <w:r w:rsidRPr="005815CA">
        <w:rPr>
          <w:rStyle w:val="oypena"/>
          <w:rFonts w:ascii="Verdana" w:hAnsi="Verdana"/>
          <w:color w:val="000000"/>
        </w:rPr>
        <w:t>For more information about how you, or your organisation, can take action to prevent violence against migrant and refugee women, non-binary, and gender-diverse people with disabilities please contact Women with Disabilities Victoria and Multicultural Centre for Women’s Health.</w:t>
      </w:r>
    </w:p>
    <w:p w14:paraId="284130C0" w14:textId="77777777" w:rsidR="005815CA" w:rsidRPr="005815CA" w:rsidRDefault="005815CA" w:rsidP="005815CA">
      <w:pPr>
        <w:spacing w:line="276" w:lineRule="auto"/>
        <w:rPr>
          <w:rFonts w:ascii="Verdana" w:hAnsi="Verdana"/>
        </w:rPr>
      </w:pPr>
    </w:p>
    <w:sectPr w:rsidR="005815CA" w:rsidRPr="00581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7946"/>
    <w:multiLevelType w:val="hybridMultilevel"/>
    <w:tmpl w:val="29D0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1A3DC0"/>
    <w:multiLevelType w:val="hybridMultilevel"/>
    <w:tmpl w:val="41364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DA2DC0"/>
    <w:multiLevelType w:val="hybridMultilevel"/>
    <w:tmpl w:val="C2B2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807BF2"/>
    <w:multiLevelType w:val="multilevel"/>
    <w:tmpl w:val="6C8E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3478E"/>
    <w:multiLevelType w:val="multilevel"/>
    <w:tmpl w:val="BD56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63D5D"/>
    <w:multiLevelType w:val="hybridMultilevel"/>
    <w:tmpl w:val="CE900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8572814">
    <w:abstractNumId w:val="4"/>
  </w:num>
  <w:num w:numId="2" w16cid:durableId="549001593">
    <w:abstractNumId w:val="3"/>
  </w:num>
  <w:num w:numId="3" w16cid:durableId="894780310">
    <w:abstractNumId w:val="0"/>
  </w:num>
  <w:num w:numId="4" w16cid:durableId="771433380">
    <w:abstractNumId w:val="5"/>
  </w:num>
  <w:num w:numId="5" w16cid:durableId="1878004371">
    <w:abstractNumId w:val="2"/>
  </w:num>
  <w:num w:numId="6" w16cid:durableId="324014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CA"/>
    <w:rsid w:val="001D638A"/>
    <w:rsid w:val="005815CA"/>
    <w:rsid w:val="00A85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54AD"/>
  <w15:chartTrackingRefBased/>
  <w15:docId w15:val="{F46C47BF-A642-439C-A599-13C28213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CA"/>
    <w:pPr>
      <w:keepNext/>
      <w:keepLines/>
      <w:spacing w:before="360" w:after="80"/>
      <w:outlineLvl w:val="0"/>
    </w:pPr>
    <w:rPr>
      <w:rFonts w:asciiTheme="majorHAnsi" w:eastAsiaTheme="majorEastAsia" w:hAnsiTheme="majorHAnsi" w:cstheme="majorBidi"/>
      <w:color w:val="4B194C" w:themeColor="accent1" w:themeShade="BF"/>
      <w:sz w:val="40"/>
      <w:szCs w:val="40"/>
    </w:rPr>
  </w:style>
  <w:style w:type="paragraph" w:styleId="Heading2">
    <w:name w:val="heading 2"/>
    <w:basedOn w:val="Normal"/>
    <w:next w:val="Normal"/>
    <w:link w:val="Heading2Char"/>
    <w:uiPriority w:val="9"/>
    <w:unhideWhenUsed/>
    <w:qFormat/>
    <w:rsid w:val="005815CA"/>
    <w:pPr>
      <w:keepNext/>
      <w:keepLines/>
      <w:spacing w:before="160" w:after="80"/>
      <w:outlineLvl w:val="1"/>
    </w:pPr>
    <w:rPr>
      <w:rFonts w:asciiTheme="majorHAnsi" w:eastAsiaTheme="majorEastAsia" w:hAnsiTheme="majorHAnsi" w:cstheme="majorBidi"/>
      <w:color w:val="4B194C" w:themeColor="accent1" w:themeShade="BF"/>
      <w:sz w:val="32"/>
      <w:szCs w:val="32"/>
    </w:rPr>
  </w:style>
  <w:style w:type="paragraph" w:styleId="Heading3">
    <w:name w:val="heading 3"/>
    <w:basedOn w:val="Normal"/>
    <w:next w:val="Normal"/>
    <w:link w:val="Heading3Char"/>
    <w:uiPriority w:val="9"/>
    <w:semiHidden/>
    <w:unhideWhenUsed/>
    <w:qFormat/>
    <w:rsid w:val="005815CA"/>
    <w:pPr>
      <w:keepNext/>
      <w:keepLines/>
      <w:spacing w:before="160" w:after="80"/>
      <w:outlineLvl w:val="2"/>
    </w:pPr>
    <w:rPr>
      <w:rFonts w:eastAsiaTheme="majorEastAsia" w:cstheme="majorBidi"/>
      <w:color w:val="4B194C" w:themeColor="accent1" w:themeShade="BF"/>
      <w:sz w:val="28"/>
      <w:szCs w:val="28"/>
    </w:rPr>
  </w:style>
  <w:style w:type="paragraph" w:styleId="Heading4">
    <w:name w:val="heading 4"/>
    <w:basedOn w:val="Normal"/>
    <w:next w:val="Normal"/>
    <w:link w:val="Heading4Char"/>
    <w:uiPriority w:val="9"/>
    <w:semiHidden/>
    <w:unhideWhenUsed/>
    <w:qFormat/>
    <w:rsid w:val="005815CA"/>
    <w:pPr>
      <w:keepNext/>
      <w:keepLines/>
      <w:spacing w:before="80" w:after="40"/>
      <w:outlineLvl w:val="3"/>
    </w:pPr>
    <w:rPr>
      <w:rFonts w:eastAsiaTheme="majorEastAsia" w:cstheme="majorBidi"/>
      <w:i/>
      <w:iCs/>
      <w:color w:val="4B194C" w:themeColor="accent1" w:themeShade="BF"/>
    </w:rPr>
  </w:style>
  <w:style w:type="paragraph" w:styleId="Heading5">
    <w:name w:val="heading 5"/>
    <w:basedOn w:val="Normal"/>
    <w:next w:val="Normal"/>
    <w:link w:val="Heading5Char"/>
    <w:uiPriority w:val="9"/>
    <w:semiHidden/>
    <w:unhideWhenUsed/>
    <w:qFormat/>
    <w:rsid w:val="005815CA"/>
    <w:pPr>
      <w:keepNext/>
      <w:keepLines/>
      <w:spacing w:before="80" w:after="40"/>
      <w:outlineLvl w:val="4"/>
    </w:pPr>
    <w:rPr>
      <w:rFonts w:eastAsiaTheme="majorEastAsia" w:cstheme="majorBidi"/>
      <w:color w:val="4B194C" w:themeColor="accent1" w:themeShade="BF"/>
    </w:rPr>
  </w:style>
  <w:style w:type="paragraph" w:styleId="Heading6">
    <w:name w:val="heading 6"/>
    <w:basedOn w:val="Normal"/>
    <w:next w:val="Normal"/>
    <w:link w:val="Heading6Char"/>
    <w:uiPriority w:val="9"/>
    <w:semiHidden/>
    <w:unhideWhenUsed/>
    <w:qFormat/>
    <w:rsid w:val="00581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5CA"/>
    <w:rPr>
      <w:rFonts w:asciiTheme="majorHAnsi" w:eastAsiaTheme="majorEastAsia" w:hAnsiTheme="majorHAnsi" w:cstheme="majorBidi"/>
      <w:color w:val="4B194C" w:themeColor="accent1" w:themeShade="BF"/>
      <w:sz w:val="40"/>
      <w:szCs w:val="40"/>
    </w:rPr>
  </w:style>
  <w:style w:type="character" w:customStyle="1" w:styleId="Heading2Char">
    <w:name w:val="Heading 2 Char"/>
    <w:basedOn w:val="DefaultParagraphFont"/>
    <w:link w:val="Heading2"/>
    <w:uiPriority w:val="9"/>
    <w:rsid w:val="005815CA"/>
    <w:rPr>
      <w:rFonts w:asciiTheme="majorHAnsi" w:eastAsiaTheme="majorEastAsia" w:hAnsiTheme="majorHAnsi" w:cstheme="majorBidi"/>
      <w:color w:val="4B194C" w:themeColor="accent1" w:themeShade="BF"/>
      <w:sz w:val="32"/>
      <w:szCs w:val="32"/>
    </w:rPr>
  </w:style>
  <w:style w:type="character" w:customStyle="1" w:styleId="Heading3Char">
    <w:name w:val="Heading 3 Char"/>
    <w:basedOn w:val="DefaultParagraphFont"/>
    <w:link w:val="Heading3"/>
    <w:uiPriority w:val="9"/>
    <w:semiHidden/>
    <w:rsid w:val="005815CA"/>
    <w:rPr>
      <w:rFonts w:eastAsiaTheme="majorEastAsia" w:cstheme="majorBidi"/>
      <w:color w:val="4B194C" w:themeColor="accent1" w:themeShade="BF"/>
      <w:sz w:val="28"/>
      <w:szCs w:val="28"/>
    </w:rPr>
  </w:style>
  <w:style w:type="character" w:customStyle="1" w:styleId="Heading4Char">
    <w:name w:val="Heading 4 Char"/>
    <w:basedOn w:val="DefaultParagraphFont"/>
    <w:link w:val="Heading4"/>
    <w:uiPriority w:val="9"/>
    <w:semiHidden/>
    <w:rsid w:val="005815CA"/>
    <w:rPr>
      <w:rFonts w:eastAsiaTheme="majorEastAsia" w:cstheme="majorBidi"/>
      <w:i/>
      <w:iCs/>
      <w:color w:val="4B194C" w:themeColor="accent1" w:themeShade="BF"/>
    </w:rPr>
  </w:style>
  <w:style w:type="character" w:customStyle="1" w:styleId="Heading5Char">
    <w:name w:val="Heading 5 Char"/>
    <w:basedOn w:val="DefaultParagraphFont"/>
    <w:link w:val="Heading5"/>
    <w:uiPriority w:val="9"/>
    <w:semiHidden/>
    <w:rsid w:val="005815CA"/>
    <w:rPr>
      <w:rFonts w:eastAsiaTheme="majorEastAsia" w:cstheme="majorBidi"/>
      <w:color w:val="4B194C" w:themeColor="accent1" w:themeShade="BF"/>
    </w:rPr>
  </w:style>
  <w:style w:type="character" w:customStyle="1" w:styleId="Heading6Char">
    <w:name w:val="Heading 6 Char"/>
    <w:basedOn w:val="DefaultParagraphFont"/>
    <w:link w:val="Heading6"/>
    <w:uiPriority w:val="9"/>
    <w:semiHidden/>
    <w:rsid w:val="00581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5CA"/>
    <w:rPr>
      <w:rFonts w:eastAsiaTheme="majorEastAsia" w:cstheme="majorBidi"/>
      <w:color w:val="272727" w:themeColor="text1" w:themeTint="D8"/>
    </w:rPr>
  </w:style>
  <w:style w:type="paragraph" w:styleId="Title">
    <w:name w:val="Title"/>
    <w:basedOn w:val="Normal"/>
    <w:next w:val="Normal"/>
    <w:link w:val="TitleChar"/>
    <w:uiPriority w:val="10"/>
    <w:qFormat/>
    <w:rsid w:val="00581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5CA"/>
    <w:pPr>
      <w:spacing w:before="160"/>
      <w:jc w:val="center"/>
    </w:pPr>
    <w:rPr>
      <w:i/>
      <w:iCs/>
      <w:color w:val="404040" w:themeColor="text1" w:themeTint="BF"/>
    </w:rPr>
  </w:style>
  <w:style w:type="character" w:customStyle="1" w:styleId="QuoteChar">
    <w:name w:val="Quote Char"/>
    <w:basedOn w:val="DefaultParagraphFont"/>
    <w:link w:val="Quote"/>
    <w:uiPriority w:val="29"/>
    <w:rsid w:val="005815CA"/>
    <w:rPr>
      <w:i/>
      <w:iCs/>
      <w:color w:val="404040" w:themeColor="text1" w:themeTint="BF"/>
    </w:rPr>
  </w:style>
  <w:style w:type="paragraph" w:styleId="ListParagraph">
    <w:name w:val="List Paragraph"/>
    <w:basedOn w:val="Normal"/>
    <w:uiPriority w:val="34"/>
    <w:qFormat/>
    <w:rsid w:val="005815CA"/>
    <w:pPr>
      <w:ind w:left="720"/>
      <w:contextualSpacing/>
    </w:pPr>
  </w:style>
  <w:style w:type="character" w:styleId="IntenseEmphasis">
    <w:name w:val="Intense Emphasis"/>
    <w:basedOn w:val="DefaultParagraphFont"/>
    <w:uiPriority w:val="21"/>
    <w:qFormat/>
    <w:rsid w:val="005815CA"/>
    <w:rPr>
      <w:i/>
      <w:iCs/>
      <w:color w:val="4B194C" w:themeColor="accent1" w:themeShade="BF"/>
    </w:rPr>
  </w:style>
  <w:style w:type="paragraph" w:styleId="IntenseQuote">
    <w:name w:val="Intense Quote"/>
    <w:basedOn w:val="Normal"/>
    <w:next w:val="Normal"/>
    <w:link w:val="IntenseQuoteChar"/>
    <w:uiPriority w:val="30"/>
    <w:qFormat/>
    <w:rsid w:val="005815CA"/>
    <w:pPr>
      <w:pBdr>
        <w:top w:val="single" w:sz="4" w:space="10" w:color="4B194C" w:themeColor="accent1" w:themeShade="BF"/>
        <w:bottom w:val="single" w:sz="4" w:space="10" w:color="4B194C" w:themeColor="accent1" w:themeShade="BF"/>
      </w:pBdr>
      <w:spacing w:before="360" w:after="360"/>
      <w:ind w:left="864" w:right="864"/>
      <w:jc w:val="center"/>
    </w:pPr>
    <w:rPr>
      <w:i/>
      <w:iCs/>
      <w:color w:val="4B194C" w:themeColor="accent1" w:themeShade="BF"/>
    </w:rPr>
  </w:style>
  <w:style w:type="character" w:customStyle="1" w:styleId="IntenseQuoteChar">
    <w:name w:val="Intense Quote Char"/>
    <w:basedOn w:val="DefaultParagraphFont"/>
    <w:link w:val="IntenseQuote"/>
    <w:uiPriority w:val="30"/>
    <w:rsid w:val="005815CA"/>
    <w:rPr>
      <w:i/>
      <w:iCs/>
      <w:color w:val="4B194C" w:themeColor="accent1" w:themeShade="BF"/>
    </w:rPr>
  </w:style>
  <w:style w:type="character" w:styleId="IntenseReference">
    <w:name w:val="Intense Reference"/>
    <w:basedOn w:val="DefaultParagraphFont"/>
    <w:uiPriority w:val="32"/>
    <w:qFormat/>
    <w:rsid w:val="005815CA"/>
    <w:rPr>
      <w:b/>
      <w:bCs/>
      <w:smallCaps/>
      <w:color w:val="4B194C" w:themeColor="accent1" w:themeShade="BF"/>
      <w:spacing w:val="5"/>
    </w:rPr>
  </w:style>
  <w:style w:type="character" w:customStyle="1" w:styleId="oypena">
    <w:name w:val="oypena"/>
    <w:basedOn w:val="DefaultParagraphFont"/>
    <w:rsid w:val="0058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74106">
      <w:bodyDiv w:val="1"/>
      <w:marLeft w:val="0"/>
      <w:marRight w:val="0"/>
      <w:marTop w:val="0"/>
      <w:marBottom w:val="0"/>
      <w:divBdr>
        <w:top w:val="none" w:sz="0" w:space="0" w:color="auto"/>
        <w:left w:val="none" w:sz="0" w:space="0" w:color="auto"/>
        <w:bottom w:val="none" w:sz="0" w:space="0" w:color="auto"/>
        <w:right w:val="none" w:sz="0" w:space="0" w:color="auto"/>
      </w:divBdr>
    </w:div>
    <w:div w:id="436755352">
      <w:bodyDiv w:val="1"/>
      <w:marLeft w:val="0"/>
      <w:marRight w:val="0"/>
      <w:marTop w:val="0"/>
      <w:marBottom w:val="0"/>
      <w:divBdr>
        <w:top w:val="none" w:sz="0" w:space="0" w:color="auto"/>
        <w:left w:val="none" w:sz="0" w:space="0" w:color="auto"/>
        <w:bottom w:val="none" w:sz="0" w:space="0" w:color="auto"/>
        <w:right w:val="none" w:sz="0" w:space="0" w:color="auto"/>
      </w:divBdr>
    </w:div>
    <w:div w:id="18688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WDV">
      <a:dk1>
        <a:sysClr val="windowText" lastClr="000000"/>
      </a:dk1>
      <a:lt1>
        <a:sysClr val="window" lastClr="FFFFFF"/>
      </a:lt1>
      <a:dk2>
        <a:srgbClr val="44546A"/>
      </a:dk2>
      <a:lt2>
        <a:srgbClr val="E7E6E6"/>
      </a:lt2>
      <a:accent1>
        <a:srgbClr val="652266"/>
      </a:accent1>
      <a:accent2>
        <a:srgbClr val="A9218E"/>
      </a:accent2>
      <a:accent3>
        <a:srgbClr val="D97B1A"/>
      </a:accent3>
      <a:accent4>
        <a:srgbClr val="D8C8D7"/>
      </a:accent4>
      <a:accent5>
        <a:srgbClr val="EBC4B1"/>
      </a:accent5>
      <a:accent6>
        <a:srgbClr val="FFF7E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323811C99A540B36BE37FD84F0D9B" ma:contentTypeVersion="14" ma:contentTypeDescription="Create a new document." ma:contentTypeScope="" ma:versionID="bf561fcec52201415f307fd60444ae57">
  <xsd:schema xmlns:xsd="http://www.w3.org/2001/XMLSchema" xmlns:xs="http://www.w3.org/2001/XMLSchema" xmlns:p="http://schemas.microsoft.com/office/2006/metadata/properties" xmlns:ns2="94b4db28-1a77-4dbd-b07e-e8160fa7847e" xmlns:ns3="9a6a6afb-215b-42ec-9f8f-afb7b7687480" targetNamespace="http://schemas.microsoft.com/office/2006/metadata/properties" ma:root="true" ma:fieldsID="16abd9302c101090ddc5585e45424770" ns2:_="" ns3:_="">
    <xsd:import namespace="94b4db28-1a77-4dbd-b07e-e8160fa7847e"/>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4db28-1a77-4dbd-b07e-e8160fa7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e0708a-a3ac-4c75-9bb4-06249a41fa09}"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4db28-1a77-4dbd-b07e-e8160fa7847e">
      <Terms xmlns="http://schemas.microsoft.com/office/infopath/2007/PartnerControls"/>
    </lcf76f155ced4ddcb4097134ff3c332f>
    <TaxCatchAll xmlns="9a6a6afb-215b-42ec-9f8f-afb7b7687480" xsi:nil="true"/>
  </documentManagement>
</p:properties>
</file>

<file path=customXml/itemProps1.xml><?xml version="1.0" encoding="utf-8"?>
<ds:datastoreItem xmlns:ds="http://schemas.openxmlformats.org/officeDocument/2006/customXml" ds:itemID="{3CA6E9E8-7A42-47EA-8418-EA65C305CFEF}"/>
</file>

<file path=customXml/itemProps2.xml><?xml version="1.0" encoding="utf-8"?>
<ds:datastoreItem xmlns:ds="http://schemas.openxmlformats.org/officeDocument/2006/customXml" ds:itemID="{00399557-522E-4D28-B037-B3AFEF54B3EE}"/>
</file>

<file path=customXml/itemProps3.xml><?xml version="1.0" encoding="utf-8"?>
<ds:datastoreItem xmlns:ds="http://schemas.openxmlformats.org/officeDocument/2006/customXml" ds:itemID="{CB6B1CED-BADF-4466-9537-AE867DFED259}"/>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Sayer</dc:creator>
  <cp:keywords/>
  <dc:description/>
  <cp:lastModifiedBy>Stephanie Sayer</cp:lastModifiedBy>
  <cp:revision>1</cp:revision>
  <dcterms:created xsi:type="dcterms:W3CDTF">2024-06-19T01:59:00Z</dcterms:created>
  <dcterms:modified xsi:type="dcterms:W3CDTF">2024-06-19T02:05:00Z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0x010100AD2323811C99A540B36BE37FD84F0D9B</vt:lpwstr>
  </property>
</Properties>
</file>