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169E3" w14:textId="64692CFC" w:rsidR="00A8550B" w:rsidRPr="006B157B" w:rsidRDefault="00AE25F7" w:rsidP="006B157B">
      <w:pPr>
        <w:pStyle w:val="Heading1"/>
        <w:spacing w:line="276" w:lineRule="auto"/>
        <w:rPr>
          <w:rStyle w:val="oypena"/>
          <w:rFonts w:ascii="Verdana" w:hAnsi="Verdana"/>
          <w:b/>
          <w:bCs/>
          <w:color w:val="652266" w:themeColor="accent1"/>
          <w:sz w:val="32"/>
          <w:szCs w:val="32"/>
        </w:rPr>
      </w:pPr>
      <w:r w:rsidRPr="006B157B">
        <w:rPr>
          <w:rStyle w:val="oypena"/>
          <w:rFonts w:ascii="Verdana" w:hAnsi="Verdana"/>
          <w:b/>
          <w:bCs/>
          <w:color w:val="652266" w:themeColor="accent1"/>
          <w:sz w:val="32"/>
          <w:szCs w:val="32"/>
        </w:rPr>
        <w:t>Preventing Violence Against Migrant and Refugee Women, Non-Binary, and Gender-Diverse People with Disabilities</w:t>
      </w:r>
    </w:p>
    <w:p w14:paraId="0017AE6D" w14:textId="0F009FFD" w:rsidR="00AE25F7" w:rsidRPr="006B157B" w:rsidRDefault="00AE25F7" w:rsidP="006B157B">
      <w:pPr>
        <w:pStyle w:val="Subtitle"/>
        <w:spacing w:line="276" w:lineRule="auto"/>
        <w:rPr>
          <w:rStyle w:val="oypena"/>
          <w:rFonts w:ascii="Verdana" w:hAnsi="Verdana"/>
          <w:color w:val="auto"/>
          <w:sz w:val="24"/>
          <w:szCs w:val="24"/>
        </w:rPr>
      </w:pPr>
      <w:r w:rsidRPr="006B157B">
        <w:rPr>
          <w:rStyle w:val="oypena"/>
          <w:rFonts w:ascii="Verdana" w:hAnsi="Verdana"/>
          <w:color w:val="auto"/>
          <w:sz w:val="24"/>
          <w:szCs w:val="24"/>
        </w:rPr>
        <w:t>Animation Guide</w:t>
      </w:r>
    </w:p>
    <w:p w14:paraId="2C05A938" w14:textId="77777777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</w:p>
    <w:p w14:paraId="18A26CA2" w14:textId="52A8AD1A" w:rsidR="00AE25F7" w:rsidRPr="006B157B" w:rsidRDefault="00AE25F7" w:rsidP="006B157B">
      <w:pPr>
        <w:pStyle w:val="Heading2"/>
        <w:spacing w:line="276" w:lineRule="auto"/>
        <w:rPr>
          <w:rStyle w:val="oypena"/>
          <w:rFonts w:ascii="Verdana" w:hAnsi="Verdana"/>
          <w:b/>
          <w:bCs/>
          <w:color w:val="652266" w:themeColor="accent1"/>
          <w:sz w:val="24"/>
          <w:szCs w:val="24"/>
        </w:rPr>
      </w:pPr>
      <w:r w:rsidRPr="006B157B">
        <w:rPr>
          <w:rStyle w:val="oypena"/>
          <w:rFonts w:ascii="Verdana" w:hAnsi="Verdana"/>
          <w:b/>
          <w:bCs/>
          <w:color w:val="652266" w:themeColor="accent1"/>
          <w:sz w:val="24"/>
          <w:szCs w:val="24"/>
        </w:rPr>
        <w:t>WHO IS THIS VIDEO FOR?</w:t>
      </w:r>
    </w:p>
    <w:p w14:paraId="7E11560D" w14:textId="77777777" w:rsidR="00AE25F7" w:rsidRPr="006B157B" w:rsidRDefault="00AE25F7" w:rsidP="006B157B">
      <w:pPr>
        <w:spacing w:line="276" w:lineRule="auto"/>
        <w:rPr>
          <w:rFonts w:ascii="Verdana" w:hAnsi="Verdana"/>
        </w:rPr>
      </w:pPr>
      <w:r w:rsidRPr="006B157B">
        <w:rPr>
          <w:rFonts w:ascii="Verdana" w:hAnsi="Verdana"/>
        </w:rPr>
        <w:t xml:space="preserve">This video is for anyone who has a role in undertaking primary prevention work. </w:t>
      </w:r>
    </w:p>
    <w:p w14:paraId="1945EA31" w14:textId="77777777" w:rsidR="00AE25F7" w:rsidRPr="006B157B" w:rsidRDefault="00AE25F7" w:rsidP="006B157B">
      <w:pPr>
        <w:spacing w:line="276" w:lineRule="auto"/>
        <w:rPr>
          <w:rFonts w:ascii="Verdana" w:hAnsi="Verdana"/>
        </w:rPr>
      </w:pPr>
      <w:r w:rsidRPr="006B157B">
        <w:rPr>
          <w:rFonts w:ascii="Verdana" w:hAnsi="Verdana"/>
        </w:rPr>
        <w:t xml:space="preserve">This might be:  </w:t>
      </w:r>
    </w:p>
    <w:p w14:paraId="2A360962" w14:textId="77777777" w:rsidR="00AE25F7" w:rsidRPr="006B157B" w:rsidRDefault="00AE25F7" w:rsidP="006B157B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6B157B">
        <w:rPr>
          <w:rFonts w:ascii="Verdana" w:hAnsi="Verdana"/>
        </w:rPr>
        <w:t xml:space="preserve">Disability and social services  </w:t>
      </w:r>
    </w:p>
    <w:p w14:paraId="7612B530" w14:textId="77777777" w:rsidR="00AE25F7" w:rsidRPr="006B157B" w:rsidRDefault="00AE25F7" w:rsidP="006B157B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6B157B">
        <w:rPr>
          <w:rFonts w:ascii="Verdana" w:hAnsi="Verdana"/>
        </w:rPr>
        <w:t xml:space="preserve">Prevention and response sectors  </w:t>
      </w:r>
    </w:p>
    <w:p w14:paraId="46BDE24E" w14:textId="77777777" w:rsidR="00AE25F7" w:rsidRPr="006B157B" w:rsidRDefault="00AE25F7" w:rsidP="006B157B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6B157B">
        <w:rPr>
          <w:rFonts w:ascii="Verdana" w:hAnsi="Verdana"/>
        </w:rPr>
        <w:t xml:space="preserve">Multicultural services  </w:t>
      </w:r>
    </w:p>
    <w:p w14:paraId="7D9FAB84" w14:textId="77777777" w:rsidR="00AE25F7" w:rsidRPr="006B157B" w:rsidRDefault="00AE25F7" w:rsidP="006B157B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6B157B">
        <w:rPr>
          <w:rFonts w:ascii="Verdana" w:hAnsi="Verdana"/>
        </w:rPr>
        <w:t xml:space="preserve">Women’s Health Services  </w:t>
      </w:r>
    </w:p>
    <w:p w14:paraId="7183D758" w14:textId="77777777" w:rsidR="00AE25F7" w:rsidRPr="006B157B" w:rsidRDefault="00AE25F7" w:rsidP="006B157B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6B157B">
        <w:rPr>
          <w:rFonts w:ascii="Verdana" w:hAnsi="Verdana"/>
        </w:rPr>
        <w:t xml:space="preserve">Community health services  </w:t>
      </w:r>
    </w:p>
    <w:p w14:paraId="69E9367D" w14:textId="77777777" w:rsidR="00AE25F7" w:rsidRPr="006B157B" w:rsidRDefault="00AE25F7" w:rsidP="006B157B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6B157B">
        <w:rPr>
          <w:rFonts w:ascii="Verdana" w:hAnsi="Verdana"/>
        </w:rPr>
        <w:t xml:space="preserve">State and local government  </w:t>
      </w:r>
    </w:p>
    <w:p w14:paraId="41290FAF" w14:textId="32DC4C6D" w:rsidR="00AE25F7" w:rsidRPr="006B157B" w:rsidRDefault="00AE25F7" w:rsidP="006B157B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6B157B">
        <w:rPr>
          <w:rFonts w:ascii="Verdana" w:hAnsi="Verdana"/>
        </w:rPr>
        <w:t>Educational and vocational services</w:t>
      </w:r>
    </w:p>
    <w:p w14:paraId="328555D7" w14:textId="1B4F91B5" w:rsidR="00AE25F7" w:rsidRPr="006B157B" w:rsidRDefault="00AE25F7" w:rsidP="006B157B">
      <w:pPr>
        <w:spacing w:line="276" w:lineRule="auto"/>
        <w:rPr>
          <w:rStyle w:val="oypena"/>
          <w:rFonts w:ascii="Verdana" w:hAnsi="Verdana"/>
        </w:rPr>
      </w:pPr>
      <w:r w:rsidRPr="006B157B">
        <w:rPr>
          <w:rStyle w:val="oypena"/>
          <w:rFonts w:ascii="Verdana" w:hAnsi="Verdana"/>
        </w:rPr>
        <w:t>It might also be used by anyone working alongside disability and social services and prevention practitioners who would like to gain a better understanding of how gender, race and disability influence the experience of violence.</w:t>
      </w:r>
    </w:p>
    <w:p w14:paraId="0B490340" w14:textId="77777777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</w:p>
    <w:p w14:paraId="6C1B3093" w14:textId="755CFC53" w:rsidR="00AE25F7" w:rsidRPr="006B157B" w:rsidRDefault="00AE25F7" w:rsidP="006B157B">
      <w:pPr>
        <w:pStyle w:val="Heading2"/>
        <w:spacing w:line="276" w:lineRule="auto"/>
        <w:rPr>
          <w:rStyle w:val="oypena"/>
          <w:rFonts w:ascii="Verdana" w:hAnsi="Verdana"/>
          <w:b/>
          <w:bCs/>
          <w:color w:val="652266" w:themeColor="accent1"/>
          <w:sz w:val="24"/>
          <w:szCs w:val="24"/>
        </w:rPr>
      </w:pPr>
      <w:r w:rsidRPr="006B157B">
        <w:rPr>
          <w:rStyle w:val="oypena"/>
          <w:rFonts w:ascii="Verdana" w:hAnsi="Verdana"/>
          <w:b/>
          <w:bCs/>
          <w:color w:val="652266" w:themeColor="accent1"/>
          <w:sz w:val="24"/>
          <w:szCs w:val="24"/>
        </w:rPr>
        <w:t>WHEN MIGHT YOU USE THIS VIDEO?</w:t>
      </w:r>
    </w:p>
    <w:p w14:paraId="2AFDC0CB" w14:textId="61AD5C74" w:rsidR="00AE25F7" w:rsidRPr="006B157B" w:rsidRDefault="00AE25F7" w:rsidP="006B157B">
      <w:pPr>
        <w:spacing w:line="276" w:lineRule="auto"/>
        <w:rPr>
          <w:rFonts w:ascii="Verdana" w:hAnsi="Verdana"/>
        </w:rPr>
      </w:pPr>
      <w:r w:rsidRPr="006B157B">
        <w:rPr>
          <w:rFonts w:ascii="Verdana" w:hAnsi="Verdana"/>
        </w:rPr>
        <w:t xml:space="preserve">This video might be used as part of professional development to build awareness and knowledge to prevent violence against women, non-binary and gender diverse people with disabilities from multicultural communities.  </w:t>
      </w:r>
    </w:p>
    <w:p w14:paraId="63D9F267" w14:textId="77777777" w:rsidR="00AE25F7" w:rsidRPr="006B157B" w:rsidRDefault="00AE25F7" w:rsidP="006B157B">
      <w:pPr>
        <w:spacing w:line="276" w:lineRule="auto"/>
        <w:rPr>
          <w:rFonts w:ascii="Verdana" w:hAnsi="Verdana"/>
        </w:rPr>
      </w:pPr>
      <w:r w:rsidRPr="006B157B">
        <w:rPr>
          <w:rFonts w:ascii="Verdana" w:hAnsi="Verdana"/>
        </w:rPr>
        <w:t xml:space="preserve">This video can be viewed as a part of a meeting to spark discussion and reflection about current intersectional practice and how it can be improved.  </w:t>
      </w:r>
    </w:p>
    <w:p w14:paraId="04A2C9A4" w14:textId="5EBD2D7D" w:rsidR="00AE25F7" w:rsidRPr="006B157B" w:rsidRDefault="00AE25F7" w:rsidP="006B157B">
      <w:pPr>
        <w:spacing w:line="276" w:lineRule="auto"/>
        <w:rPr>
          <w:rFonts w:ascii="Verdana" w:hAnsi="Verdana"/>
        </w:rPr>
      </w:pPr>
      <w:r w:rsidRPr="006B157B">
        <w:rPr>
          <w:rFonts w:ascii="Verdana" w:hAnsi="Verdana"/>
        </w:rPr>
        <w:t xml:space="preserve">This video can be referenced in training or workshops you facilitate to explain and demonstrate the concept of intersectionality.  </w:t>
      </w:r>
    </w:p>
    <w:p w14:paraId="39678B5B" w14:textId="1A86FE96" w:rsidR="00AE25F7" w:rsidRPr="006B157B" w:rsidRDefault="00AE25F7" w:rsidP="006B157B">
      <w:pPr>
        <w:spacing w:line="276" w:lineRule="auto"/>
        <w:rPr>
          <w:rFonts w:ascii="Verdana" w:hAnsi="Verdana"/>
        </w:rPr>
      </w:pPr>
      <w:r w:rsidRPr="006B157B">
        <w:rPr>
          <w:rFonts w:ascii="Verdana" w:hAnsi="Verdana"/>
        </w:rPr>
        <w:t>This video can be a useful tool when engaging with community leaders or disability and multicultural support services to advocate for the importance of intersectional prevention work.</w:t>
      </w:r>
    </w:p>
    <w:p w14:paraId="6C182554" w14:textId="77777777" w:rsidR="00AE25F7" w:rsidRPr="006B157B" w:rsidRDefault="00AE25F7" w:rsidP="006B157B">
      <w:pPr>
        <w:spacing w:line="276" w:lineRule="auto"/>
        <w:rPr>
          <w:rFonts w:ascii="Verdana" w:hAnsi="Verdana"/>
        </w:rPr>
      </w:pPr>
    </w:p>
    <w:p w14:paraId="2029CCDB" w14:textId="0203DAF4" w:rsidR="00AE25F7" w:rsidRPr="006B157B" w:rsidRDefault="006B157B" w:rsidP="006B157B">
      <w:pPr>
        <w:pStyle w:val="Heading2"/>
        <w:spacing w:line="276" w:lineRule="auto"/>
        <w:rPr>
          <w:rFonts w:ascii="Verdana" w:hAnsi="Verdana"/>
          <w:b/>
          <w:bCs/>
          <w:color w:val="652266" w:themeColor="accent1"/>
          <w:sz w:val="24"/>
          <w:szCs w:val="24"/>
        </w:rPr>
      </w:pPr>
      <w:r w:rsidRPr="006B157B">
        <w:rPr>
          <w:rFonts w:ascii="Verdana" w:hAnsi="Verdana"/>
          <w:b/>
          <w:bCs/>
          <w:color w:val="652266" w:themeColor="accent1"/>
          <w:sz w:val="24"/>
          <w:szCs w:val="24"/>
        </w:rPr>
        <w:t>KEY TERMS</w:t>
      </w:r>
      <w:r w:rsidR="00AE25F7" w:rsidRPr="006B157B">
        <w:rPr>
          <w:rFonts w:ascii="Verdana" w:hAnsi="Verdana"/>
          <w:b/>
          <w:bCs/>
          <w:color w:val="652266" w:themeColor="accent1"/>
          <w:sz w:val="24"/>
          <w:szCs w:val="24"/>
        </w:rPr>
        <w:t xml:space="preserve">: </w:t>
      </w:r>
    </w:p>
    <w:p w14:paraId="5FF5D5A2" w14:textId="0A166B50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</w:rPr>
        <w:t>Ableism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The unfair treatment of people because they have a disability. The belief that people with disabilities are less important than people without disabilities </w:t>
      </w:r>
      <w:r w:rsidRPr="006B157B">
        <w:rPr>
          <w:rStyle w:val="oypena"/>
          <w:rFonts w:ascii="Verdana" w:hAnsi="Verdana"/>
          <w:i/>
          <w:iCs/>
          <w:color w:val="000000"/>
        </w:rPr>
        <w:t>(WDV 2023, Taking Action Guide).</w:t>
      </w:r>
    </w:p>
    <w:p w14:paraId="1F059F0D" w14:textId="7BF22692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lastRenderedPageBreak/>
        <w:t>Culture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Describes the broad collection of common behaviours and attitudes of a group of people in a certain place and time. A culture is not one-dimensional. It is not the same thing to all people, and it is not the same thing at any given moment or in any given situation. It changes over time and place </w:t>
      </w:r>
      <w:r w:rsidRPr="006B157B">
        <w:rPr>
          <w:rStyle w:val="oypena"/>
          <w:rFonts w:ascii="Verdana" w:hAnsi="Verdana"/>
          <w:i/>
          <w:iCs/>
          <w:color w:val="000000"/>
        </w:rPr>
        <w:t>(MCWH 2020, Challenging myths about culture and violence).</w:t>
      </w:r>
    </w:p>
    <w:p w14:paraId="0CE5AB7A" w14:textId="289839BB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Disability</w:t>
      </w:r>
      <w:r w:rsidRPr="006B157B">
        <w:rPr>
          <w:rStyle w:val="oypena"/>
          <w:rFonts w:ascii="Verdana" w:hAnsi="Verdana"/>
          <w:b/>
          <w:bCs/>
          <w:color w:val="000000"/>
        </w:rPr>
        <w:t xml:space="preserve"> </w:t>
      </w:r>
      <w:r w:rsidRPr="006B157B">
        <w:rPr>
          <w:rStyle w:val="oypena"/>
          <w:rFonts w:ascii="Verdana" w:hAnsi="Verdana"/>
          <w:color w:val="000000"/>
        </w:rPr>
        <w:t xml:space="preserve">- </w:t>
      </w:r>
      <w:r w:rsidRPr="006B157B">
        <w:rPr>
          <w:rStyle w:val="oypena"/>
          <w:rFonts w:ascii="Verdana" w:hAnsi="Verdana"/>
          <w:color w:val="000000"/>
        </w:rPr>
        <w:t xml:space="preserve">There is no single definition of disability. Disability is a long-term physical, cognitive, sensory and psychosocial impairment, that when combined with a number of barriers can impact community and social participation </w:t>
      </w:r>
      <w:r w:rsidRPr="006B157B">
        <w:rPr>
          <w:rStyle w:val="oypena"/>
          <w:rFonts w:ascii="Verdana" w:hAnsi="Verdana"/>
          <w:i/>
          <w:iCs/>
          <w:color w:val="000000"/>
        </w:rPr>
        <w:t>(WDV 2023, Taking Action Guide).</w:t>
      </w:r>
    </w:p>
    <w:p w14:paraId="7D6502BA" w14:textId="6793BE6E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Gender based violence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Gender-based violence includes a wide range of behaviours, such as dating violence, physical and sexual violence, image-based abuse and sexual harassment. Gender-based violence includes violence against young and adult women, as well as violence experienced by lesbian, gay, bisexual, trans, intersex and queer (LGBTIQA+) people </w:t>
      </w:r>
      <w:r w:rsidRPr="006B157B">
        <w:rPr>
          <w:rStyle w:val="oypena"/>
          <w:rFonts w:ascii="Verdana" w:hAnsi="Verdana"/>
          <w:i/>
          <w:iCs/>
          <w:color w:val="000000"/>
        </w:rPr>
        <w:t>(Our Watch, 2024)</w:t>
      </w:r>
      <w:r w:rsidRPr="006B157B">
        <w:rPr>
          <w:rStyle w:val="oypena"/>
          <w:rFonts w:ascii="Verdana" w:hAnsi="Verdana"/>
          <w:i/>
          <w:iCs/>
          <w:color w:val="000000"/>
        </w:rPr>
        <w:t>.</w:t>
      </w:r>
    </w:p>
    <w:p w14:paraId="0303EFFE" w14:textId="009BA635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Gender diverse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People whose gender identity is different to what is socially acceptable to the gender binary. Also see non-binary </w:t>
      </w:r>
      <w:r w:rsidRPr="006B157B">
        <w:rPr>
          <w:rStyle w:val="oypena"/>
          <w:rFonts w:ascii="Verdana" w:hAnsi="Verdana"/>
          <w:i/>
          <w:iCs/>
          <w:color w:val="000000"/>
        </w:rPr>
        <w:t>(WDV 2023, Taking Action Guide).</w:t>
      </w:r>
    </w:p>
    <w:p w14:paraId="571863B7" w14:textId="16ECE274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Gender inequality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When there is unequal division of power, resources, opportunities and values given to men, women and gender diverse people in a society </w:t>
      </w:r>
      <w:r w:rsidRPr="006B157B">
        <w:rPr>
          <w:rStyle w:val="oypena"/>
          <w:rFonts w:ascii="Verdana" w:hAnsi="Verdana"/>
          <w:i/>
          <w:iCs/>
          <w:color w:val="000000"/>
        </w:rPr>
        <w:t>(WDV 2023, Taking Action Guide).</w:t>
      </w:r>
    </w:p>
    <w:p w14:paraId="54C3A865" w14:textId="604F72B0" w:rsidR="00AE25F7" w:rsidRPr="006B157B" w:rsidRDefault="00AE25F7" w:rsidP="006B157B">
      <w:pPr>
        <w:spacing w:line="276" w:lineRule="auto"/>
        <w:rPr>
          <w:rStyle w:val="oypena"/>
          <w:rFonts w:ascii="Verdana" w:hAnsi="Verdana"/>
          <w:i/>
          <w:iCs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Individual barriers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Individual adherence to rigid gender roles and identities, weak support for gender equality, social learning of violence against women, male dominance and controlling behaviours in relationships </w:t>
      </w:r>
      <w:r w:rsidRPr="006B157B">
        <w:rPr>
          <w:rStyle w:val="oypena"/>
          <w:rFonts w:ascii="Verdana" w:hAnsi="Verdana"/>
          <w:i/>
          <w:iCs/>
          <w:color w:val="000000"/>
        </w:rPr>
        <w:t>(WDV 2023, Taking Action Guide).</w:t>
      </w:r>
    </w:p>
    <w:p w14:paraId="3E6B8CA0" w14:textId="6E287BF2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Intersectionality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Describes how overlapping types of structural or systemic discrimination and privilege shape how individuals experience the world </w:t>
      </w:r>
      <w:r w:rsidRPr="006B157B">
        <w:rPr>
          <w:rStyle w:val="oypena"/>
          <w:rFonts w:ascii="Verdana" w:hAnsi="Verdana"/>
          <w:i/>
          <w:iCs/>
          <w:color w:val="000000"/>
        </w:rPr>
        <w:t>(WDV 2023, Taking Action Guide).</w:t>
      </w:r>
    </w:p>
    <w:p w14:paraId="4F2A2304" w14:textId="1B33D248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Migrant and refugee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Describe people living in Australia who were born overseas or whose parent(s) or grandparent(s) were born overseas in a predominantly non-English speaking or non-western country </w:t>
      </w:r>
      <w:r w:rsidRPr="006B157B">
        <w:rPr>
          <w:rStyle w:val="oypena"/>
          <w:rFonts w:ascii="Verdana" w:hAnsi="Verdana"/>
          <w:i/>
          <w:iCs/>
          <w:color w:val="000000"/>
        </w:rPr>
        <w:t>(MCWH 2020, Challenging myths about culture and violence).</w:t>
      </w:r>
    </w:p>
    <w:p w14:paraId="3773C340" w14:textId="2CD26721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Non-binary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A person whose gender identity does not fall within the gender binary (male/female). Also see Gender diverse </w:t>
      </w:r>
      <w:r w:rsidRPr="006B157B">
        <w:rPr>
          <w:rStyle w:val="oypena"/>
          <w:rFonts w:ascii="Verdana" w:hAnsi="Verdana"/>
          <w:i/>
          <w:iCs/>
          <w:color w:val="000000"/>
        </w:rPr>
        <w:t>(WDV 2023, Taking Action Guide).</w:t>
      </w:r>
    </w:p>
    <w:p w14:paraId="23D51BD8" w14:textId="3A00F30F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Organisational barriers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Organisation and community norms, structures and practices supporting or failing to address gender inequality, stereotyping, discrimination and violence </w:t>
      </w:r>
      <w:r w:rsidRPr="006B157B">
        <w:rPr>
          <w:rStyle w:val="oypena"/>
          <w:rFonts w:ascii="Verdana" w:hAnsi="Verdana"/>
          <w:i/>
          <w:iCs/>
          <w:color w:val="000000"/>
        </w:rPr>
        <w:t>(WDV 2023, Taking Action Guide).</w:t>
      </w:r>
    </w:p>
    <w:p w14:paraId="21148623" w14:textId="093BBBE2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Racism</w:t>
      </w:r>
      <w:r w:rsidRPr="006B157B">
        <w:rPr>
          <w:rStyle w:val="oypena"/>
          <w:rFonts w:ascii="Verdana" w:hAnsi="Verdana"/>
          <w:b/>
          <w:bCs/>
          <w:color w:val="000000"/>
        </w:rPr>
        <w:t xml:space="preserve"> </w:t>
      </w:r>
      <w:r w:rsidRPr="006B157B">
        <w:rPr>
          <w:rStyle w:val="oypena"/>
          <w:rFonts w:ascii="Verdana" w:hAnsi="Verdana"/>
          <w:color w:val="000000"/>
        </w:rPr>
        <w:t xml:space="preserve">- </w:t>
      </w:r>
      <w:r w:rsidRPr="006B157B">
        <w:rPr>
          <w:rStyle w:val="oypena"/>
          <w:rFonts w:ascii="Verdana" w:hAnsi="Verdana"/>
          <w:color w:val="000000"/>
        </w:rPr>
        <w:t xml:space="preserve">The process by which systems and policies, actions and attitudes create inequitable opportunities and outcomes for people based on race </w:t>
      </w:r>
      <w:r w:rsidRPr="006B157B">
        <w:rPr>
          <w:rStyle w:val="oypena"/>
          <w:rFonts w:ascii="Verdana" w:hAnsi="Verdana"/>
          <w:i/>
          <w:iCs/>
          <w:color w:val="000000"/>
        </w:rPr>
        <w:t>(Australian Human Rights Commission 2022).</w:t>
      </w:r>
    </w:p>
    <w:p w14:paraId="7142338F" w14:textId="03C305F5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lastRenderedPageBreak/>
        <w:t>Sexism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>The claim that one sex is superior to the others</w:t>
      </w:r>
      <w:r w:rsidRPr="006B157B">
        <w:rPr>
          <w:rStyle w:val="oypena"/>
          <w:rFonts w:ascii="Verdana" w:hAnsi="Verdana"/>
          <w:color w:val="000000"/>
        </w:rPr>
        <w:t xml:space="preserve"> </w:t>
      </w:r>
      <w:r w:rsidRPr="006B157B">
        <w:rPr>
          <w:rStyle w:val="oypena"/>
          <w:rFonts w:ascii="Verdana" w:hAnsi="Verdana"/>
          <w:i/>
          <w:iCs/>
          <w:color w:val="000000"/>
        </w:rPr>
        <w:t>(WDV 2023, Taking Action Guide).</w:t>
      </w:r>
    </w:p>
    <w:p w14:paraId="794E89FE" w14:textId="7FA11D1F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Societal barriers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Dominant social norms supporting rigid roles and stereotyping, or condoning, excusing and downplaying violence against women </w:t>
      </w:r>
      <w:r w:rsidRPr="006B157B">
        <w:rPr>
          <w:rStyle w:val="oypena"/>
          <w:rFonts w:ascii="Verdana" w:hAnsi="Verdana"/>
          <w:i/>
          <w:iCs/>
          <w:color w:val="000000"/>
        </w:rPr>
        <w:t>(WDV 2023, Taking Action Guide).</w:t>
      </w:r>
    </w:p>
    <w:p w14:paraId="21130DDB" w14:textId="66C545AD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Social norms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Unspoken rules that define acceptable and expected behaviours within society </w:t>
      </w:r>
      <w:r w:rsidRPr="006B157B">
        <w:rPr>
          <w:rStyle w:val="oypena"/>
          <w:rFonts w:ascii="Verdana" w:hAnsi="Verdana"/>
          <w:i/>
          <w:iCs/>
          <w:color w:val="000000"/>
        </w:rPr>
        <w:t>(WDV 2023, Taking Action Guide).</w:t>
      </w:r>
    </w:p>
    <w:p w14:paraId="61053E3D" w14:textId="2E7448AA" w:rsidR="00AE25F7" w:rsidRPr="006B157B" w:rsidRDefault="00AE25F7" w:rsidP="006B157B">
      <w:pPr>
        <w:spacing w:line="276" w:lineRule="auto"/>
        <w:rPr>
          <w:rStyle w:val="oypena"/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Systematic barriers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Failure of systems, institutions and policies to promote women’s economic, legal and societal autonomy, or to adequately address violence against women </w:t>
      </w:r>
      <w:r w:rsidRPr="006B157B">
        <w:rPr>
          <w:rStyle w:val="oypena"/>
          <w:rFonts w:ascii="Verdana" w:hAnsi="Verdana"/>
          <w:i/>
          <w:iCs/>
          <w:color w:val="000000"/>
        </w:rPr>
        <w:t>(WDV 2023, Taking Action Guide).</w:t>
      </w:r>
    </w:p>
    <w:p w14:paraId="0776D5FF" w14:textId="00FEA909" w:rsidR="00AE25F7" w:rsidRPr="006B157B" w:rsidRDefault="00AE25F7" w:rsidP="006B157B">
      <w:pPr>
        <w:spacing w:line="276" w:lineRule="auto"/>
        <w:rPr>
          <w:rFonts w:ascii="Verdana" w:hAnsi="Verdana"/>
          <w:color w:val="000000"/>
        </w:rPr>
      </w:pPr>
      <w:r w:rsidRPr="006B157B">
        <w:rPr>
          <w:rStyle w:val="oypena"/>
          <w:rFonts w:ascii="Verdana" w:hAnsi="Verdana"/>
          <w:b/>
          <w:bCs/>
          <w:color w:val="000000"/>
        </w:rPr>
        <w:t>Violence Against Women</w:t>
      </w:r>
      <w:r w:rsidRPr="006B157B">
        <w:rPr>
          <w:rStyle w:val="oypena"/>
          <w:rFonts w:ascii="Verdana" w:hAnsi="Verdana"/>
          <w:color w:val="000000"/>
        </w:rPr>
        <w:t xml:space="preserve"> - </w:t>
      </w:r>
      <w:r w:rsidRPr="006B157B">
        <w:rPr>
          <w:rStyle w:val="oypena"/>
          <w:rFonts w:ascii="Verdana" w:hAnsi="Verdana"/>
          <w:color w:val="000000"/>
        </w:rPr>
        <w:t xml:space="preserve">Any act of violence that causes, or could cause, physical, sexual or psychological harm or suffering to women, including threats of harm or coercion, in public or in private life </w:t>
      </w:r>
      <w:r w:rsidRPr="006B157B">
        <w:rPr>
          <w:rStyle w:val="oypena"/>
          <w:rFonts w:ascii="Verdana" w:hAnsi="Verdana"/>
          <w:i/>
          <w:iCs/>
          <w:color w:val="000000"/>
        </w:rPr>
        <w:t>(Our Watch 2022).</w:t>
      </w:r>
    </w:p>
    <w:sectPr w:rsidR="00AE25F7" w:rsidRPr="006B1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D1F4F"/>
    <w:multiLevelType w:val="hybridMultilevel"/>
    <w:tmpl w:val="B3A2F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87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F7"/>
    <w:rsid w:val="001D638A"/>
    <w:rsid w:val="006B157B"/>
    <w:rsid w:val="00A8550B"/>
    <w:rsid w:val="00A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FC5A"/>
  <w15:chartTrackingRefBased/>
  <w15:docId w15:val="{29BDC4EE-9217-43CA-AB02-242F1FE2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B194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B194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5F7"/>
    <w:pPr>
      <w:keepNext/>
      <w:keepLines/>
      <w:spacing w:before="160" w:after="80"/>
      <w:outlineLvl w:val="2"/>
    </w:pPr>
    <w:rPr>
      <w:rFonts w:eastAsiaTheme="majorEastAsia" w:cstheme="majorBidi"/>
      <w:color w:val="4B194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B194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5F7"/>
    <w:pPr>
      <w:keepNext/>
      <w:keepLines/>
      <w:spacing w:before="80" w:after="40"/>
      <w:outlineLvl w:val="4"/>
    </w:pPr>
    <w:rPr>
      <w:rFonts w:eastAsiaTheme="majorEastAsia" w:cstheme="majorBidi"/>
      <w:color w:val="4B194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5F7"/>
    <w:rPr>
      <w:rFonts w:asciiTheme="majorHAnsi" w:eastAsiaTheme="majorEastAsia" w:hAnsiTheme="majorHAnsi" w:cstheme="majorBidi"/>
      <w:color w:val="4B194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25F7"/>
    <w:rPr>
      <w:rFonts w:asciiTheme="majorHAnsi" w:eastAsiaTheme="majorEastAsia" w:hAnsiTheme="majorHAnsi" w:cstheme="majorBidi"/>
      <w:color w:val="4B194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5F7"/>
    <w:rPr>
      <w:rFonts w:eastAsiaTheme="majorEastAsia" w:cstheme="majorBidi"/>
      <w:color w:val="4B194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5F7"/>
    <w:rPr>
      <w:rFonts w:eastAsiaTheme="majorEastAsia" w:cstheme="majorBidi"/>
      <w:i/>
      <w:iCs/>
      <w:color w:val="4B194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5F7"/>
    <w:rPr>
      <w:rFonts w:eastAsiaTheme="majorEastAsia" w:cstheme="majorBidi"/>
      <w:color w:val="4B19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5F7"/>
    <w:rPr>
      <w:i/>
      <w:iCs/>
      <w:color w:val="4B194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5F7"/>
    <w:pPr>
      <w:pBdr>
        <w:top w:val="single" w:sz="4" w:space="10" w:color="4B194C" w:themeColor="accent1" w:themeShade="BF"/>
        <w:bottom w:val="single" w:sz="4" w:space="10" w:color="4B194C" w:themeColor="accent1" w:themeShade="BF"/>
      </w:pBdr>
      <w:spacing w:before="360" w:after="360"/>
      <w:ind w:left="864" w:right="864"/>
      <w:jc w:val="center"/>
    </w:pPr>
    <w:rPr>
      <w:i/>
      <w:iCs/>
      <w:color w:val="4B194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5F7"/>
    <w:rPr>
      <w:i/>
      <w:iCs/>
      <w:color w:val="4B194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5F7"/>
    <w:rPr>
      <w:b/>
      <w:bCs/>
      <w:smallCaps/>
      <w:color w:val="4B194C" w:themeColor="accent1" w:themeShade="BF"/>
      <w:spacing w:val="5"/>
    </w:rPr>
  </w:style>
  <w:style w:type="character" w:customStyle="1" w:styleId="oypena">
    <w:name w:val="oypena"/>
    <w:basedOn w:val="DefaultParagraphFont"/>
    <w:rsid w:val="00AE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2013 - 2022 Theme">
  <a:themeElements>
    <a:clrScheme name="WD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52266"/>
      </a:accent1>
      <a:accent2>
        <a:srgbClr val="A9218E"/>
      </a:accent2>
      <a:accent3>
        <a:srgbClr val="D97B1A"/>
      </a:accent3>
      <a:accent4>
        <a:srgbClr val="D8C8D7"/>
      </a:accent4>
      <a:accent5>
        <a:srgbClr val="EBC4B1"/>
      </a:accent5>
      <a:accent6>
        <a:srgbClr val="FFF7E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323811C99A540B36BE37FD84F0D9B" ma:contentTypeVersion="14" ma:contentTypeDescription="Create a new document." ma:contentTypeScope="" ma:versionID="bf561fcec52201415f307fd60444ae57">
  <xsd:schema xmlns:xsd="http://www.w3.org/2001/XMLSchema" xmlns:xs="http://www.w3.org/2001/XMLSchema" xmlns:p="http://schemas.microsoft.com/office/2006/metadata/properties" xmlns:ns2="94b4db28-1a77-4dbd-b07e-e8160fa7847e" xmlns:ns3="9a6a6afb-215b-42ec-9f8f-afb7b7687480" targetNamespace="http://schemas.microsoft.com/office/2006/metadata/properties" ma:root="true" ma:fieldsID="16abd9302c101090ddc5585e45424770" ns2:_="" ns3:_="">
    <xsd:import namespace="94b4db28-1a77-4dbd-b07e-e8160fa7847e"/>
    <xsd:import namespace="9a6a6afb-215b-42ec-9f8f-afb7b7687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4db28-1a77-4dbd-b07e-e8160fa78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6afb-215b-42ec-9f8f-afb7b7687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e0708a-a3ac-4c75-9bb4-06249a41fa09}" ma:internalName="TaxCatchAll" ma:showField="CatchAllData" ma:web="9a6a6afb-215b-42ec-9f8f-afb7b7687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b4db28-1a77-4dbd-b07e-e8160fa7847e">
      <Terms xmlns="http://schemas.microsoft.com/office/infopath/2007/PartnerControls"/>
    </lcf76f155ced4ddcb4097134ff3c332f>
    <TaxCatchAll xmlns="9a6a6afb-215b-42ec-9f8f-afb7b7687480" xsi:nil="true"/>
  </documentManagement>
</p:properties>
</file>

<file path=customXml/itemProps1.xml><?xml version="1.0" encoding="utf-8"?>
<ds:datastoreItem xmlns:ds="http://schemas.openxmlformats.org/officeDocument/2006/customXml" ds:itemID="{1F8E8230-AF73-4E8D-97BD-3B1997A10485}"/>
</file>

<file path=customXml/itemProps2.xml><?xml version="1.0" encoding="utf-8"?>
<ds:datastoreItem xmlns:ds="http://schemas.openxmlformats.org/officeDocument/2006/customXml" ds:itemID="{AF876848-74F5-4743-9D3C-BB3AC75ECCB9}"/>
</file>

<file path=customXml/itemProps3.xml><?xml version="1.0" encoding="utf-8"?>
<ds:datastoreItem xmlns:ds="http://schemas.openxmlformats.org/officeDocument/2006/customXml" ds:itemID="{64DC9F8F-3312-4882-ACE8-5F15883E9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Sayer</dc:creator>
  <cp:keywords/>
  <dc:description/>
  <cp:lastModifiedBy>Stephanie Sayer</cp:lastModifiedBy>
  <cp:revision>1</cp:revision>
  <dcterms:created xsi:type="dcterms:W3CDTF">2024-06-19T01:42:00Z</dcterms:created>
  <dcterms:modified xsi:type="dcterms:W3CDTF">2024-06-19T01:58:00Z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0x010100AD2323811C99A540B36BE37FD84F0D9B</vt:lpwstr>
  </property>
</Properties>
</file>